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BD2B" w14:textId="0EAB959E" w:rsidR="00A13B47" w:rsidRDefault="00BA0174">
      <w:pPr>
        <w:tabs>
          <w:tab w:val="center" w:pos="12126"/>
        </w:tabs>
      </w:pPr>
      <w:r>
        <w:t xml:space="preserve">Werkproces Expertteam </w:t>
      </w:r>
      <w:r w:rsidR="007B5BF1">
        <w:t>Midden</w:t>
      </w:r>
      <w:r>
        <w:t xml:space="preserve">-Limburg </w:t>
      </w:r>
      <w:r>
        <w:tab/>
        <w:t xml:space="preserve">  </w:t>
      </w:r>
    </w:p>
    <w:p w14:paraId="56CBC986" w14:textId="77777777" w:rsidR="00A13B47" w:rsidRDefault="00BA0174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3993" w:type="dxa"/>
        <w:tblInd w:w="-17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2"/>
        <w:gridCol w:w="6032"/>
        <w:gridCol w:w="6059"/>
      </w:tblGrid>
      <w:tr w:rsidR="00A13B47" w14:paraId="0FF04EAD" w14:textId="77777777">
        <w:trPr>
          <w:trHeight w:val="35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FF0EA4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Processtap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E1982B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Actie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97ADB9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Door wie? </w:t>
            </w:r>
          </w:p>
        </w:tc>
      </w:tr>
      <w:tr w:rsidR="00A13B47" w14:paraId="5B71DD18" w14:textId="77777777">
        <w:trPr>
          <w:trHeight w:val="20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CBC" w14:textId="77777777" w:rsidR="00A13B47" w:rsidRDefault="00BA0174">
            <w:pPr>
              <w:spacing w:after="0" w:line="239" w:lineRule="auto"/>
              <w:ind w:left="0"/>
            </w:pPr>
            <w:r>
              <w:rPr>
                <w:sz w:val="28"/>
              </w:rPr>
              <w:t xml:space="preserve">Aanmelden casus Expertteam </w:t>
            </w:r>
          </w:p>
          <w:p w14:paraId="56803028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 </w:t>
            </w:r>
          </w:p>
          <w:p w14:paraId="0EC460A6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C49" w14:textId="4BD2B24C" w:rsidR="00A13B47" w:rsidRDefault="00BA0174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b w:val="0"/>
                <w:sz w:val="28"/>
              </w:rPr>
              <w:t xml:space="preserve">Invullen aanmeldformulier </w:t>
            </w:r>
            <w:r w:rsidR="00C973BA">
              <w:rPr>
                <w:b w:val="0"/>
                <w:sz w:val="28"/>
              </w:rPr>
              <w:t xml:space="preserve">en verklarende analyse </w:t>
            </w:r>
            <w:r>
              <w:rPr>
                <w:b w:val="0"/>
                <w:sz w:val="28"/>
              </w:rPr>
              <w:t xml:space="preserve">Expertteam </w:t>
            </w:r>
            <w:r w:rsidR="0099158F">
              <w:rPr>
                <w:b w:val="0"/>
                <w:sz w:val="28"/>
              </w:rPr>
              <w:t>via ZIVVER</w:t>
            </w:r>
          </w:p>
          <w:p w14:paraId="425E870A" w14:textId="3AA5C09C" w:rsidR="00A13B47" w:rsidRDefault="00BA017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 w:val="0"/>
                <w:sz w:val="28"/>
              </w:rPr>
              <w:t xml:space="preserve">Versturen aanmeldformulier naar mailadres: </w:t>
            </w:r>
            <w:hyperlink r:id="rId5" w:history="1">
              <w:r w:rsidR="00182730" w:rsidRPr="00C706D2">
                <w:rPr>
                  <w:rStyle w:val="Hyperlink"/>
                  <w:b w:val="0"/>
                  <w:sz w:val="28"/>
                </w:rPr>
                <w:t>kimlenaers@roermond.nl</w:t>
              </w:r>
            </w:hyperlink>
            <w:r w:rsidR="00182730">
              <w:rPr>
                <w:b w:val="0"/>
                <w:sz w:val="28"/>
              </w:rPr>
              <w:t xml:space="preserve"> én naar </w:t>
            </w:r>
            <w:r>
              <w:rPr>
                <w:b w:val="0"/>
                <w:sz w:val="28"/>
              </w:rPr>
              <w:t>Expertteam</w:t>
            </w:r>
            <w:r w:rsidR="007B5BF1">
              <w:rPr>
                <w:b w:val="0"/>
                <w:sz w:val="28"/>
              </w:rPr>
              <w:t>ML@roermond</w:t>
            </w:r>
            <w:r>
              <w:rPr>
                <w:b w:val="0"/>
                <w:sz w:val="28"/>
              </w:rPr>
              <w:t xml:space="preserve">.nl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F27" w14:textId="77777777" w:rsidR="00A13B47" w:rsidRDefault="00BA0174">
            <w:pPr>
              <w:spacing w:after="13"/>
              <w:ind w:left="0"/>
            </w:pPr>
            <w:r>
              <w:rPr>
                <w:b w:val="0"/>
                <w:sz w:val="28"/>
              </w:rPr>
              <w:t xml:space="preserve">Aanmelden kan door: </w:t>
            </w:r>
          </w:p>
          <w:p w14:paraId="2EA230D0" w14:textId="349928C3" w:rsidR="00A13B47" w:rsidRDefault="00BA0174">
            <w:pPr>
              <w:numPr>
                <w:ilvl w:val="0"/>
                <w:numId w:val="2"/>
              </w:numPr>
              <w:spacing w:after="15"/>
              <w:ind w:hanging="360"/>
            </w:pPr>
            <w:r>
              <w:rPr>
                <w:b w:val="0"/>
                <w:sz w:val="28"/>
              </w:rPr>
              <w:t xml:space="preserve">Medewerker toegang Gemeente </w:t>
            </w:r>
            <w:r w:rsidR="00E37E62">
              <w:rPr>
                <w:b w:val="0"/>
                <w:sz w:val="28"/>
              </w:rPr>
              <w:t xml:space="preserve"> (CJG)</w:t>
            </w:r>
          </w:p>
          <w:p w14:paraId="1F3766A5" w14:textId="77777777" w:rsidR="00A13B47" w:rsidRDefault="00BA0174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b w:val="0"/>
                <w:sz w:val="28"/>
              </w:rPr>
              <w:t xml:space="preserve">Medewerker GI </w:t>
            </w:r>
          </w:p>
          <w:p w14:paraId="2B697B92" w14:textId="77777777" w:rsidR="00A13B47" w:rsidRDefault="00BA0174">
            <w:pPr>
              <w:numPr>
                <w:ilvl w:val="0"/>
                <w:numId w:val="2"/>
              </w:numPr>
              <w:spacing w:after="16"/>
              <w:ind w:hanging="360"/>
            </w:pPr>
            <w:r>
              <w:rPr>
                <w:b w:val="0"/>
                <w:sz w:val="28"/>
              </w:rPr>
              <w:t xml:space="preserve">Medewerker jeugdhulpaanbieder </w:t>
            </w:r>
          </w:p>
          <w:p w14:paraId="6D781654" w14:textId="77777777" w:rsidR="007B5BF1" w:rsidRPr="007B5BF1" w:rsidRDefault="00BA017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b w:val="0"/>
                <w:sz w:val="28"/>
              </w:rPr>
              <w:t xml:space="preserve">(huis)arts, jeugdarts, POH </w:t>
            </w:r>
            <w:r w:rsidR="007B5BF1">
              <w:rPr>
                <w:b w:val="0"/>
                <w:sz w:val="28"/>
              </w:rPr>
              <w:t xml:space="preserve"> </w:t>
            </w:r>
          </w:p>
          <w:p w14:paraId="3870BCFC" w14:textId="53F4FFEA" w:rsidR="007B5BF1" w:rsidRDefault="00340B71" w:rsidP="007B5BF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b w:val="0"/>
                <w:sz w:val="28"/>
              </w:rPr>
              <w:t>O</w:t>
            </w:r>
            <w:r w:rsidR="007B5BF1">
              <w:rPr>
                <w:b w:val="0"/>
                <w:sz w:val="28"/>
              </w:rPr>
              <w:t>uders</w:t>
            </w:r>
            <w:r>
              <w:rPr>
                <w:b w:val="0"/>
                <w:sz w:val="28"/>
              </w:rPr>
              <w:t xml:space="preserve"> / verzorgers</w:t>
            </w:r>
          </w:p>
          <w:p w14:paraId="542646AA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Deze persoon noemen we de ‘inbrenger’ </w:t>
            </w:r>
          </w:p>
        </w:tc>
      </w:tr>
      <w:tr w:rsidR="00A13B47" w14:paraId="654CAC07" w14:textId="77777777">
        <w:trPr>
          <w:trHeight w:val="69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CCB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t xml:space="preserve">Check aanmelding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5F4" w14:textId="77777777" w:rsidR="00A13B47" w:rsidRDefault="00BA0174">
            <w:pPr>
              <w:spacing w:after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Checken of formulier voldoende </w:t>
            </w:r>
            <w:r w:rsidR="00E37E62">
              <w:rPr>
                <w:b w:val="0"/>
                <w:sz w:val="28"/>
              </w:rPr>
              <w:t>en geanonimiseerd in</w:t>
            </w:r>
            <w:r>
              <w:rPr>
                <w:b w:val="0"/>
                <w:sz w:val="28"/>
              </w:rPr>
              <w:t>gevul</w:t>
            </w:r>
            <w:r w:rsidR="007B5BF1">
              <w:rPr>
                <w:b w:val="0"/>
                <w:sz w:val="28"/>
              </w:rPr>
              <w:t>d is</w:t>
            </w:r>
            <w:r w:rsidR="0099158F">
              <w:rPr>
                <w:b w:val="0"/>
                <w:sz w:val="28"/>
              </w:rPr>
              <w:t>.</w:t>
            </w:r>
          </w:p>
          <w:p w14:paraId="6A3207F4" w14:textId="77777777" w:rsidR="0099158F" w:rsidRPr="0099158F" w:rsidRDefault="0099158F">
            <w:pPr>
              <w:spacing w:after="0"/>
              <w:ind w:left="0"/>
              <w:rPr>
                <w:b w:val="0"/>
                <w:bCs/>
                <w:sz w:val="28"/>
                <w:szCs w:val="28"/>
              </w:rPr>
            </w:pPr>
            <w:r w:rsidRPr="0099158F">
              <w:rPr>
                <w:b w:val="0"/>
                <w:bCs/>
                <w:sz w:val="28"/>
                <w:szCs w:val="28"/>
              </w:rPr>
              <w:t>Afweging:</w:t>
            </w:r>
          </w:p>
          <w:p w14:paraId="26CDA3AE" w14:textId="77777777" w:rsidR="0099158F" w:rsidRPr="0099158F" w:rsidRDefault="0099158F" w:rsidP="0099158F">
            <w:pPr>
              <w:pStyle w:val="Lijstalinea"/>
              <w:numPr>
                <w:ilvl w:val="0"/>
                <w:numId w:val="2"/>
              </w:numPr>
              <w:spacing w:after="0"/>
              <w:rPr>
                <w:b w:val="0"/>
                <w:bCs/>
                <w:sz w:val="28"/>
                <w:szCs w:val="28"/>
              </w:rPr>
            </w:pPr>
            <w:r w:rsidRPr="0099158F">
              <w:rPr>
                <w:b w:val="0"/>
                <w:bCs/>
                <w:sz w:val="28"/>
                <w:szCs w:val="28"/>
              </w:rPr>
              <w:t>Inbrengen in het Expertteam</w:t>
            </w:r>
          </w:p>
          <w:p w14:paraId="3FB9FC9B" w14:textId="77777777" w:rsidR="0099158F" w:rsidRPr="0099158F" w:rsidRDefault="0099158F" w:rsidP="0099158F">
            <w:pPr>
              <w:pStyle w:val="Lijstalinea"/>
              <w:numPr>
                <w:ilvl w:val="0"/>
                <w:numId w:val="2"/>
              </w:numPr>
              <w:spacing w:after="0"/>
              <w:rPr>
                <w:b w:val="0"/>
                <w:bCs/>
                <w:sz w:val="28"/>
                <w:szCs w:val="28"/>
              </w:rPr>
            </w:pPr>
            <w:r w:rsidRPr="0099158F">
              <w:rPr>
                <w:b w:val="0"/>
                <w:bCs/>
                <w:sz w:val="28"/>
                <w:szCs w:val="28"/>
              </w:rPr>
              <w:t>Inzetten op procesregie</w:t>
            </w:r>
          </w:p>
          <w:p w14:paraId="232C50E1" w14:textId="34735D82" w:rsidR="0099158F" w:rsidRPr="0099158F" w:rsidRDefault="0099158F" w:rsidP="0099158F">
            <w:pPr>
              <w:pStyle w:val="Lijstalinea"/>
              <w:numPr>
                <w:ilvl w:val="0"/>
                <w:numId w:val="2"/>
              </w:numPr>
              <w:spacing w:after="0"/>
              <w:rPr>
                <w:b w:val="0"/>
                <w:bCs/>
              </w:rPr>
            </w:pPr>
            <w:r w:rsidRPr="0099158F">
              <w:rPr>
                <w:b w:val="0"/>
                <w:bCs/>
                <w:sz w:val="28"/>
                <w:szCs w:val="28"/>
              </w:rPr>
              <w:t>Afwijzing aanmelding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600" w14:textId="0DA55D82" w:rsidR="00A13B47" w:rsidRDefault="007B5BF1">
            <w:pPr>
              <w:spacing w:after="0"/>
              <w:ind w:left="0"/>
            </w:pPr>
            <w:r>
              <w:rPr>
                <w:b w:val="0"/>
                <w:sz w:val="28"/>
              </w:rPr>
              <w:t>Voorzitter</w:t>
            </w:r>
            <w:r w:rsidR="00BA0174">
              <w:rPr>
                <w:b w:val="0"/>
                <w:sz w:val="28"/>
              </w:rPr>
              <w:t xml:space="preserve"> Expertteam  </w:t>
            </w:r>
          </w:p>
        </w:tc>
      </w:tr>
      <w:tr w:rsidR="00A13B47" w14:paraId="39ABBD6A" w14:textId="77777777">
        <w:trPr>
          <w:trHeight w:val="274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676" w14:textId="77777777" w:rsidR="00A13B47" w:rsidRDefault="00BA0174">
            <w:pPr>
              <w:spacing w:after="0"/>
              <w:ind w:left="0"/>
            </w:pPr>
            <w:r>
              <w:rPr>
                <w:sz w:val="28"/>
              </w:rPr>
              <w:lastRenderedPageBreak/>
              <w:t xml:space="preserve">Agendering Expertteam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89C" w14:textId="768F130C" w:rsidR="00A13B47" w:rsidRDefault="00BA0174">
            <w:pPr>
              <w:spacing w:after="2" w:line="239" w:lineRule="auto"/>
              <w:ind w:left="0"/>
            </w:pPr>
            <w:r>
              <w:rPr>
                <w:b w:val="0"/>
                <w:sz w:val="28"/>
              </w:rPr>
              <w:t xml:space="preserve">Op agenda plaatsen volgende Expertteam (aanmelden kan tot </w:t>
            </w:r>
            <w:r w:rsidR="007B5BF1">
              <w:rPr>
                <w:b w:val="0"/>
                <w:sz w:val="28"/>
              </w:rPr>
              <w:t>uiterlijk 6</w:t>
            </w:r>
            <w:r>
              <w:rPr>
                <w:b w:val="0"/>
                <w:sz w:val="28"/>
              </w:rPr>
              <w:t xml:space="preserve"> dagen voordat het overleg plaatsvindt) </w:t>
            </w:r>
          </w:p>
          <w:p w14:paraId="3A890084" w14:textId="6F107419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>Delen aanmeldingen</w:t>
            </w:r>
            <w:r w:rsidR="000E55E6">
              <w:rPr>
                <w:b w:val="0"/>
                <w:sz w:val="28"/>
              </w:rPr>
              <w:t xml:space="preserve"> via ZIVVER</w:t>
            </w:r>
            <w:r>
              <w:rPr>
                <w:b w:val="0"/>
                <w:sz w:val="28"/>
              </w:rPr>
              <w:t xml:space="preserve"> met deelnemers Expertteam</w:t>
            </w:r>
            <w:r w:rsidR="00E37E62">
              <w:rPr>
                <w:b w:val="0"/>
                <w:sz w:val="28"/>
              </w:rPr>
              <w:t xml:space="preserve"> </w:t>
            </w:r>
          </w:p>
          <w:p w14:paraId="34E5ADEE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Uitnodigen inbrenger op x- tijdstip </w:t>
            </w:r>
          </w:p>
          <w:p w14:paraId="6A4E6577" w14:textId="1E5EE0ED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Het streven is iedere bespreking </w:t>
            </w:r>
            <w:r w:rsidR="002B4429">
              <w:rPr>
                <w:b w:val="0"/>
                <w:sz w:val="28"/>
              </w:rPr>
              <w:t>15</w:t>
            </w:r>
            <w:r w:rsidR="007B5BF1">
              <w:rPr>
                <w:b w:val="0"/>
                <w:sz w:val="28"/>
              </w:rPr>
              <w:t xml:space="preserve"> min voor bespreken, </w:t>
            </w:r>
            <w:r w:rsidR="002B4429">
              <w:rPr>
                <w:b w:val="0"/>
                <w:sz w:val="28"/>
              </w:rPr>
              <w:t>75</w:t>
            </w:r>
            <w:r w:rsidR="007B5BF1">
              <w:rPr>
                <w:b w:val="0"/>
                <w:sz w:val="28"/>
              </w:rPr>
              <w:t xml:space="preserve"> min gezamenlijk bespreken, </w:t>
            </w:r>
            <w:r w:rsidR="00E37E62">
              <w:rPr>
                <w:b w:val="0"/>
                <w:sz w:val="28"/>
              </w:rPr>
              <w:t>30</w:t>
            </w:r>
            <w:r w:rsidR="007B5BF1">
              <w:rPr>
                <w:b w:val="0"/>
                <w:sz w:val="28"/>
              </w:rPr>
              <w:t xml:space="preserve"> min nabespreken. </w:t>
            </w:r>
            <w:r>
              <w:rPr>
                <w:b w:val="0"/>
                <w:sz w:val="28"/>
              </w:rPr>
              <w:t xml:space="preserve">Bespreking is in aanwezigheid van de inbrenger, </w:t>
            </w:r>
            <w:r w:rsidR="00DC66A3">
              <w:rPr>
                <w:b w:val="0"/>
                <w:sz w:val="28"/>
              </w:rPr>
              <w:t>jeugdige</w:t>
            </w:r>
            <w:r>
              <w:rPr>
                <w:b w:val="0"/>
                <w:sz w:val="28"/>
              </w:rPr>
              <w:t xml:space="preserve"> en ouders</w:t>
            </w:r>
            <w:r w:rsidR="00E37E62">
              <w:rPr>
                <w:b w:val="0"/>
                <w:sz w:val="28"/>
              </w:rPr>
              <w:t>/verzorgers en mogelijk externe partij(en)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768C" w14:textId="2CAEE73A" w:rsidR="00A13B47" w:rsidRDefault="007B5BF1">
            <w:pPr>
              <w:spacing w:after="0"/>
              <w:ind w:left="0"/>
            </w:pPr>
            <w:r>
              <w:rPr>
                <w:b w:val="0"/>
                <w:sz w:val="28"/>
              </w:rPr>
              <w:t>Voorzitte</w:t>
            </w:r>
            <w:r w:rsidR="00BA0174">
              <w:rPr>
                <w:b w:val="0"/>
                <w:sz w:val="28"/>
              </w:rPr>
              <w:t xml:space="preserve">r Expertteam </w:t>
            </w:r>
          </w:p>
        </w:tc>
      </w:tr>
    </w:tbl>
    <w:p w14:paraId="0C8E5C36" w14:textId="77777777" w:rsidR="00A13B47" w:rsidRDefault="00A13B47">
      <w:pPr>
        <w:spacing w:after="0"/>
        <w:ind w:left="-1440" w:right="15398"/>
      </w:pPr>
    </w:p>
    <w:tbl>
      <w:tblPr>
        <w:tblStyle w:val="TableGrid"/>
        <w:tblW w:w="13996" w:type="dxa"/>
        <w:tblInd w:w="-19" w:type="dxa"/>
        <w:tblCellMar>
          <w:top w:w="61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901"/>
        <w:gridCol w:w="6035"/>
        <w:gridCol w:w="6060"/>
      </w:tblGrid>
      <w:tr w:rsidR="00A13B47" w14:paraId="3D999095" w14:textId="77777777" w:rsidTr="007B41D6">
        <w:trPr>
          <w:trHeight w:val="404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28C8" w14:textId="77777777" w:rsidR="00A13B47" w:rsidRDefault="00BA0174">
            <w:pPr>
              <w:spacing w:after="0"/>
              <w:ind w:left="2"/>
            </w:pPr>
            <w:r>
              <w:rPr>
                <w:sz w:val="28"/>
              </w:rPr>
              <w:t xml:space="preserve">Bespreking Expertteam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5E18" w14:textId="571B45D2" w:rsidR="00A13B47" w:rsidRDefault="00BA0174">
            <w:pPr>
              <w:spacing w:after="2" w:line="239" w:lineRule="auto"/>
              <w:ind w:left="2"/>
            </w:pPr>
            <w:r>
              <w:rPr>
                <w:b w:val="0"/>
                <w:sz w:val="28"/>
              </w:rPr>
              <w:t xml:space="preserve">-Het Expertteam </w:t>
            </w:r>
            <w:r w:rsidR="007B5BF1">
              <w:rPr>
                <w:b w:val="0"/>
                <w:sz w:val="28"/>
              </w:rPr>
              <w:t>M</w:t>
            </w:r>
            <w:r>
              <w:rPr>
                <w:b w:val="0"/>
                <w:sz w:val="28"/>
              </w:rPr>
              <w:t xml:space="preserve">L vergadert </w:t>
            </w:r>
            <w:r w:rsidR="00E37E62">
              <w:rPr>
                <w:b w:val="0"/>
                <w:sz w:val="28"/>
              </w:rPr>
              <w:t>twee wekelijk</w:t>
            </w:r>
            <w:r>
              <w:rPr>
                <w:b w:val="0"/>
                <w:sz w:val="28"/>
              </w:rPr>
              <w:t xml:space="preserve">s op </w:t>
            </w:r>
            <w:r w:rsidR="007B5BF1">
              <w:rPr>
                <w:b w:val="0"/>
                <w:sz w:val="28"/>
              </w:rPr>
              <w:t>maanda</w:t>
            </w:r>
            <w:r>
              <w:rPr>
                <w:b w:val="0"/>
                <w:sz w:val="28"/>
              </w:rPr>
              <w:t>gmiddag tussen 1</w:t>
            </w:r>
            <w:r w:rsidR="007B5BF1">
              <w:rPr>
                <w:b w:val="0"/>
                <w:sz w:val="28"/>
              </w:rPr>
              <w:t>2.00-14.00</w:t>
            </w:r>
            <w:r>
              <w:rPr>
                <w:b w:val="0"/>
                <w:sz w:val="28"/>
              </w:rPr>
              <w:t xml:space="preserve"> uur via MS Teams. </w:t>
            </w:r>
          </w:p>
          <w:p w14:paraId="761F8599" w14:textId="5D15AE4A" w:rsidR="00A13B47" w:rsidRDefault="00BA0174">
            <w:pPr>
              <w:spacing w:after="0" w:line="239" w:lineRule="auto"/>
              <w:ind w:left="2"/>
            </w:pPr>
            <w:r>
              <w:rPr>
                <w:b w:val="0"/>
                <w:sz w:val="28"/>
              </w:rPr>
              <w:t xml:space="preserve">-De inbrenger sluit aan, samen met de </w:t>
            </w:r>
            <w:r w:rsidR="00900218">
              <w:rPr>
                <w:b w:val="0"/>
                <w:sz w:val="28"/>
              </w:rPr>
              <w:t>jeugdige</w:t>
            </w:r>
            <w:r>
              <w:rPr>
                <w:b w:val="0"/>
                <w:sz w:val="28"/>
              </w:rPr>
              <w:t xml:space="preserve"> en de ouders</w:t>
            </w:r>
            <w:r w:rsidR="007B5BF1">
              <w:rPr>
                <w:b w:val="0"/>
                <w:sz w:val="28"/>
              </w:rPr>
              <w:t xml:space="preserve"> en </w:t>
            </w:r>
            <w:proofErr w:type="spellStart"/>
            <w:r w:rsidR="007B5BF1">
              <w:rPr>
                <w:b w:val="0"/>
                <w:sz w:val="28"/>
              </w:rPr>
              <w:t>evt</w:t>
            </w:r>
            <w:proofErr w:type="spellEnd"/>
            <w:r w:rsidR="007B5BF1">
              <w:rPr>
                <w:b w:val="0"/>
                <w:sz w:val="28"/>
              </w:rPr>
              <w:t xml:space="preserve"> hulpverleners.</w:t>
            </w:r>
            <w:r>
              <w:rPr>
                <w:b w:val="0"/>
                <w:sz w:val="28"/>
              </w:rPr>
              <w:t xml:space="preserve"> De inbrenger communiceert dit met de </w:t>
            </w:r>
            <w:r w:rsidR="00900218">
              <w:rPr>
                <w:b w:val="0"/>
                <w:sz w:val="28"/>
              </w:rPr>
              <w:t>jeugdige</w:t>
            </w:r>
            <w:r>
              <w:rPr>
                <w:b w:val="0"/>
                <w:sz w:val="28"/>
              </w:rPr>
              <w:t xml:space="preserve"> en de ouders. </w:t>
            </w:r>
          </w:p>
          <w:p w14:paraId="32553857" w14:textId="77777777" w:rsidR="00A13B47" w:rsidRDefault="00BA0174">
            <w:pPr>
              <w:spacing w:after="0"/>
              <w:ind w:left="2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1E4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Deelnemers Expertteam: </w:t>
            </w:r>
          </w:p>
          <w:p w14:paraId="4378D9A4" w14:textId="131E241C" w:rsidR="007B5BF1" w:rsidRDefault="005B2953">
            <w:pPr>
              <w:spacing w:after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Esther Allers</w:t>
            </w:r>
            <w:r w:rsidR="007B5BF1">
              <w:rPr>
                <w:b w:val="0"/>
                <w:sz w:val="28"/>
              </w:rPr>
              <w:t xml:space="preserve">, </w:t>
            </w:r>
            <w:proofErr w:type="spellStart"/>
            <w:r w:rsidR="007B5BF1">
              <w:rPr>
                <w:b w:val="0"/>
                <w:sz w:val="28"/>
              </w:rPr>
              <w:t>MetGGZ</w:t>
            </w:r>
            <w:proofErr w:type="spellEnd"/>
          </w:p>
          <w:p w14:paraId="63262DA9" w14:textId="07D4F3F4" w:rsidR="007B5BF1" w:rsidRDefault="007B5BF1">
            <w:pPr>
              <w:spacing w:after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René van Melick, PSW</w:t>
            </w:r>
          </w:p>
          <w:p w14:paraId="036F8AF8" w14:textId="78C583A5" w:rsidR="00A13B47" w:rsidRPr="007B5BF1" w:rsidRDefault="00222B50">
            <w:pPr>
              <w:spacing w:after="0"/>
              <w:ind w:left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Milou Bouts / Jannie Beckers</w:t>
            </w:r>
            <w:r w:rsidR="007B5BF1" w:rsidRPr="007B5BF1">
              <w:rPr>
                <w:b w:val="0"/>
                <w:bCs/>
                <w:sz w:val="28"/>
                <w:szCs w:val="28"/>
              </w:rPr>
              <w:t>, Koraal</w:t>
            </w:r>
          </w:p>
          <w:p w14:paraId="62F1AA65" w14:textId="77777777" w:rsidR="007B5BF1" w:rsidRDefault="007B5BF1">
            <w:pPr>
              <w:spacing w:after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Jacqueline Suilen, </w:t>
            </w:r>
            <w:proofErr w:type="spellStart"/>
            <w:r>
              <w:rPr>
                <w:b w:val="0"/>
                <w:sz w:val="28"/>
              </w:rPr>
              <w:t>Pactum</w:t>
            </w:r>
            <w:proofErr w:type="spellEnd"/>
          </w:p>
          <w:p w14:paraId="495C5325" w14:textId="46C6C5B5" w:rsidR="00A13B47" w:rsidRDefault="007B5BF1">
            <w:pPr>
              <w:spacing w:after="0"/>
              <w:ind w:left="0"/>
            </w:pPr>
            <w:r>
              <w:rPr>
                <w:b w:val="0"/>
                <w:sz w:val="28"/>
              </w:rPr>
              <w:t>Babette Kroes</w:t>
            </w:r>
            <w:r w:rsidR="005B2953">
              <w:rPr>
                <w:b w:val="0"/>
                <w:sz w:val="28"/>
              </w:rPr>
              <w:t xml:space="preserve"> </w:t>
            </w:r>
            <w:r w:rsidR="00222B50">
              <w:rPr>
                <w:b w:val="0"/>
                <w:sz w:val="28"/>
              </w:rPr>
              <w:t>/</w:t>
            </w:r>
            <w:r w:rsidR="005B2953">
              <w:rPr>
                <w:b w:val="0"/>
                <w:sz w:val="28"/>
              </w:rPr>
              <w:t xml:space="preserve"> Mar</w:t>
            </w:r>
            <w:r w:rsidR="00222B50">
              <w:rPr>
                <w:b w:val="0"/>
                <w:sz w:val="28"/>
              </w:rPr>
              <w:t>lies Verhees</w:t>
            </w:r>
            <w:r>
              <w:rPr>
                <w:b w:val="0"/>
                <w:sz w:val="28"/>
              </w:rPr>
              <w:t>, VVGI</w:t>
            </w:r>
            <w:r w:rsidR="00BA0174">
              <w:rPr>
                <w:b w:val="0"/>
                <w:sz w:val="28"/>
              </w:rPr>
              <w:t xml:space="preserve"> </w:t>
            </w:r>
          </w:p>
          <w:p w14:paraId="171521AD" w14:textId="0CD024B3" w:rsidR="007B5BF1" w:rsidRDefault="00222B50">
            <w:pPr>
              <w:spacing w:after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Frank Claessens</w:t>
            </w:r>
            <w:r w:rsidR="007B5BF1">
              <w:rPr>
                <w:b w:val="0"/>
                <w:sz w:val="28"/>
              </w:rPr>
              <w:t xml:space="preserve">, </w:t>
            </w:r>
            <w:proofErr w:type="spellStart"/>
            <w:r w:rsidR="007B5BF1">
              <w:rPr>
                <w:b w:val="0"/>
                <w:sz w:val="28"/>
              </w:rPr>
              <w:t>Anacare</w:t>
            </w:r>
            <w:proofErr w:type="spellEnd"/>
          </w:p>
          <w:p w14:paraId="10A3921E" w14:textId="6AF04B9C" w:rsidR="00A13B47" w:rsidRPr="007B5BF1" w:rsidRDefault="00222B50">
            <w:pPr>
              <w:spacing w:after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Sabine Joosten / Pauline van Os</w:t>
            </w:r>
            <w:r w:rsidR="007B5BF1" w:rsidRPr="007B5BF1">
              <w:rPr>
                <w:b w:val="0"/>
                <w:sz w:val="28"/>
                <w:szCs w:val="28"/>
              </w:rPr>
              <w:t>, Mutsaersstichting</w:t>
            </w:r>
          </w:p>
          <w:p w14:paraId="6B646323" w14:textId="6C044EEE" w:rsidR="007B5BF1" w:rsidRDefault="00222B50">
            <w:pPr>
              <w:spacing w:after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Jan Burgers, WSG</w:t>
            </w:r>
          </w:p>
          <w:p w14:paraId="7C54EDB4" w14:textId="6189DF1B" w:rsidR="00222B50" w:rsidRPr="007B5BF1" w:rsidRDefault="00222B50">
            <w:pPr>
              <w:spacing w:after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Richard Brunenberg, Via Jeugd</w:t>
            </w:r>
          </w:p>
          <w:p w14:paraId="6E293315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De voorzitter zorgt voor een efficiënte bespreking van de ingebrachte casussen. </w:t>
            </w:r>
          </w:p>
        </w:tc>
      </w:tr>
      <w:tr w:rsidR="00A13B47" w14:paraId="6E0A059D" w14:textId="77777777" w:rsidTr="007B41D6">
        <w:trPr>
          <w:trHeight w:val="308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9F5" w14:textId="77777777" w:rsidR="00A13B47" w:rsidRDefault="00BA0174">
            <w:pPr>
              <w:spacing w:after="0"/>
              <w:ind w:left="2"/>
              <w:jc w:val="both"/>
            </w:pPr>
            <w:r>
              <w:rPr>
                <w:sz w:val="28"/>
              </w:rPr>
              <w:lastRenderedPageBreak/>
              <w:t xml:space="preserve">Verslaglegging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3448" w14:textId="073F45DC" w:rsidR="00995C17" w:rsidRPr="00995C17" w:rsidRDefault="00995C17">
            <w:pPr>
              <w:numPr>
                <w:ilvl w:val="0"/>
                <w:numId w:val="3"/>
              </w:numPr>
              <w:spacing w:after="2" w:line="239" w:lineRule="auto"/>
            </w:pPr>
            <w:r>
              <w:rPr>
                <w:b w:val="0"/>
                <w:sz w:val="28"/>
              </w:rPr>
              <w:t xml:space="preserve">De voorzitter ontvangt de notulen van de notulist </w:t>
            </w:r>
            <w:r w:rsidR="00B07D2C">
              <w:rPr>
                <w:b w:val="0"/>
                <w:sz w:val="28"/>
              </w:rPr>
              <w:t xml:space="preserve">via ZIVVER </w:t>
            </w:r>
            <w:r>
              <w:rPr>
                <w:b w:val="0"/>
                <w:sz w:val="28"/>
              </w:rPr>
              <w:t>en verwerkt deze in een advies.</w:t>
            </w:r>
          </w:p>
          <w:p w14:paraId="5E555012" w14:textId="2C29FF82" w:rsidR="00A13B47" w:rsidRDefault="00BA0174">
            <w:pPr>
              <w:numPr>
                <w:ilvl w:val="0"/>
                <w:numId w:val="3"/>
              </w:numPr>
              <w:spacing w:after="2" w:line="239" w:lineRule="auto"/>
            </w:pPr>
            <w:r>
              <w:rPr>
                <w:b w:val="0"/>
                <w:sz w:val="28"/>
              </w:rPr>
              <w:t xml:space="preserve">De inbrenger ontvangt het advies van </w:t>
            </w:r>
            <w:r w:rsidR="00995C17">
              <w:rPr>
                <w:b w:val="0"/>
                <w:sz w:val="28"/>
              </w:rPr>
              <w:t>de voorzitter</w:t>
            </w:r>
            <w:r>
              <w:rPr>
                <w:b w:val="0"/>
                <w:sz w:val="28"/>
              </w:rPr>
              <w:t xml:space="preserve"> per mail </w:t>
            </w:r>
            <w:r w:rsidR="000B3F68">
              <w:rPr>
                <w:b w:val="0"/>
                <w:sz w:val="28"/>
              </w:rPr>
              <w:t xml:space="preserve">ZIVVER </w:t>
            </w:r>
            <w:r>
              <w:rPr>
                <w:b w:val="0"/>
                <w:sz w:val="28"/>
              </w:rPr>
              <w:t xml:space="preserve">ter verwerking in de eigen verslaglegging. </w:t>
            </w:r>
          </w:p>
          <w:p w14:paraId="09EDBB1A" w14:textId="6EAF0C7B" w:rsidR="00A13B47" w:rsidRDefault="00BA0174">
            <w:pPr>
              <w:numPr>
                <w:ilvl w:val="0"/>
                <w:numId w:val="3"/>
              </w:numPr>
              <w:spacing w:after="0"/>
            </w:pPr>
            <w:r>
              <w:rPr>
                <w:b w:val="0"/>
                <w:sz w:val="28"/>
              </w:rPr>
              <w:t xml:space="preserve">De voorzitter verwerkt de adviezen/afspraken in een </w:t>
            </w:r>
            <w:r w:rsidR="007B41D6">
              <w:rPr>
                <w:b w:val="0"/>
                <w:sz w:val="28"/>
              </w:rPr>
              <w:t>rapport dat gebr</w:t>
            </w:r>
            <w:r>
              <w:rPr>
                <w:b w:val="0"/>
                <w:sz w:val="28"/>
              </w:rPr>
              <w:t xml:space="preserve">uikt zal worden om programmagroep en stuurgroep te </w:t>
            </w:r>
            <w:r w:rsidR="007B41D6">
              <w:rPr>
                <w:b w:val="0"/>
                <w:sz w:val="28"/>
              </w:rPr>
              <w:t>adviseren aan de hand van succesvieringen,</w:t>
            </w:r>
            <w:r>
              <w:rPr>
                <w:b w:val="0"/>
                <w:sz w:val="28"/>
              </w:rPr>
              <w:t xml:space="preserve"> opvallend</w:t>
            </w:r>
            <w:r w:rsidR="007B41D6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heden, knelpunten en resultaten. Ook wordt deze lijst gebruikt voor de monitoring van de uitvoering van de adviezen.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1E4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Inbrenger </w:t>
            </w:r>
          </w:p>
          <w:p w14:paraId="3BFC8935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 </w:t>
            </w:r>
          </w:p>
          <w:p w14:paraId="622884A1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 </w:t>
            </w:r>
          </w:p>
          <w:p w14:paraId="0FEBF1F3" w14:textId="77777777" w:rsidR="007B41D6" w:rsidRDefault="007B41D6">
            <w:pPr>
              <w:spacing w:after="0"/>
              <w:ind w:left="0"/>
              <w:rPr>
                <w:b w:val="0"/>
                <w:sz w:val="28"/>
              </w:rPr>
            </w:pPr>
          </w:p>
          <w:p w14:paraId="4774FC90" w14:textId="5DE406F6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Voorzitter </w:t>
            </w:r>
          </w:p>
        </w:tc>
      </w:tr>
      <w:tr w:rsidR="00A13B47" w14:paraId="2656D50F" w14:textId="77777777" w:rsidTr="007B41D6">
        <w:trPr>
          <w:trHeight w:val="103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480E" w14:textId="77777777" w:rsidR="00A13B47" w:rsidRDefault="00BA0174">
            <w:pPr>
              <w:spacing w:after="0"/>
              <w:ind w:left="2"/>
            </w:pPr>
            <w:r>
              <w:rPr>
                <w:sz w:val="28"/>
              </w:rPr>
              <w:t xml:space="preserve">Monitoring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09D7" w14:textId="5F957A1E" w:rsidR="00A13B47" w:rsidRDefault="00BA0174">
            <w:pPr>
              <w:spacing w:after="0"/>
              <w:ind w:left="2"/>
            </w:pPr>
            <w:r>
              <w:rPr>
                <w:b w:val="0"/>
                <w:sz w:val="28"/>
              </w:rPr>
              <w:t xml:space="preserve">Ingebrachte casussen worden na </w:t>
            </w:r>
            <w:r w:rsidR="00616140">
              <w:rPr>
                <w:b w:val="0"/>
                <w:sz w:val="28"/>
              </w:rPr>
              <w:t>+/-</w:t>
            </w:r>
            <w:r>
              <w:rPr>
                <w:b w:val="0"/>
                <w:sz w:val="28"/>
              </w:rPr>
              <w:t xml:space="preserve">2 maanden gemonitord. De voorzitter zal middels een standaard mail navraag doen bij de inbrenger of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542" w14:textId="3562CD6C" w:rsidR="00A13B47" w:rsidRDefault="007B41D6">
            <w:pPr>
              <w:spacing w:after="0"/>
              <w:ind w:left="0"/>
            </w:pPr>
            <w:r>
              <w:rPr>
                <w:b w:val="0"/>
                <w:sz w:val="28"/>
              </w:rPr>
              <w:t>V</w:t>
            </w:r>
            <w:r w:rsidR="00BA0174">
              <w:rPr>
                <w:b w:val="0"/>
                <w:sz w:val="28"/>
              </w:rPr>
              <w:t xml:space="preserve">oorzitter met input van inbrengers </w:t>
            </w:r>
          </w:p>
          <w:p w14:paraId="5EE65AE2" w14:textId="77777777" w:rsidR="00A13B47" w:rsidRDefault="00BA0174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 </w:t>
            </w:r>
          </w:p>
          <w:p w14:paraId="46397C00" w14:textId="77777777" w:rsidR="00A13B47" w:rsidRDefault="00BA0174">
            <w:pPr>
              <w:spacing w:after="0"/>
              <w:ind w:left="0"/>
            </w:pPr>
            <w:r>
              <w:rPr>
                <w:b w:val="0"/>
                <w:color w:val="0070C0"/>
                <w:sz w:val="28"/>
              </w:rPr>
              <w:t xml:space="preserve"> </w:t>
            </w:r>
          </w:p>
        </w:tc>
      </w:tr>
      <w:tr w:rsidR="00A13B47" w14:paraId="10867FE6" w14:textId="77777777" w:rsidTr="007B41D6">
        <w:trPr>
          <w:trHeight w:val="206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57BE" w14:textId="77777777" w:rsidR="00A13B47" w:rsidRDefault="00A13B47">
            <w:pPr>
              <w:spacing w:after="160"/>
              <w:ind w:left="0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62C" w14:textId="77777777" w:rsidR="00A13B47" w:rsidRDefault="00BA0174">
            <w:pPr>
              <w:spacing w:after="0" w:line="239" w:lineRule="auto"/>
              <w:ind w:left="2"/>
            </w:pPr>
            <w:r>
              <w:rPr>
                <w:b w:val="0"/>
                <w:sz w:val="28"/>
              </w:rPr>
              <w:t xml:space="preserve">het advies van het Expertteam helpend en uitvoerbaar was (op welke termijn?) en wat het effect daarvan geweest is voor de jeugdige (en het gezin). </w:t>
            </w:r>
          </w:p>
          <w:p w14:paraId="1ADE8375" w14:textId="77777777" w:rsidR="00A13B47" w:rsidRDefault="00BA0174">
            <w:pPr>
              <w:spacing w:after="0"/>
              <w:ind w:left="2"/>
            </w:pPr>
            <w:r>
              <w:rPr>
                <w:b w:val="0"/>
                <w:sz w:val="28"/>
              </w:rPr>
              <w:t xml:space="preserve">Periodiek zal deze feedback besproken worden in het Expertteam.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170" w14:textId="77777777" w:rsidR="00A13B47" w:rsidRDefault="00A13B47">
            <w:pPr>
              <w:spacing w:after="160"/>
              <w:ind w:left="0"/>
            </w:pPr>
          </w:p>
        </w:tc>
      </w:tr>
    </w:tbl>
    <w:p w14:paraId="39647B43" w14:textId="77777777" w:rsidR="00A13B47" w:rsidRDefault="00BA0174">
      <w:pPr>
        <w:spacing w:after="0"/>
        <w:jc w:val="both"/>
      </w:pPr>
      <w:r>
        <w:rPr>
          <w:sz w:val="28"/>
        </w:rPr>
        <w:t xml:space="preserve"> </w:t>
      </w:r>
    </w:p>
    <w:sectPr w:rsidR="00A13B47">
      <w:pgSz w:w="16838" w:h="11906" w:orient="landscape"/>
      <w:pgMar w:top="141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41D"/>
    <w:multiLevelType w:val="hybridMultilevel"/>
    <w:tmpl w:val="7B607E16"/>
    <w:lvl w:ilvl="0" w:tplc="A53A438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41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8C5B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C4B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87E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21D2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AAA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87B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A48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901CC"/>
    <w:multiLevelType w:val="hybridMultilevel"/>
    <w:tmpl w:val="28662ADA"/>
    <w:lvl w:ilvl="0" w:tplc="5CFA4F3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459E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C05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6E81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4686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2BF9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E6C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5C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AEDD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B0B89"/>
    <w:multiLevelType w:val="hybridMultilevel"/>
    <w:tmpl w:val="80F00BB4"/>
    <w:lvl w:ilvl="0" w:tplc="47C847A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4EE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4AE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026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896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4597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0C63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658C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E94F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EE604A"/>
    <w:multiLevelType w:val="hybridMultilevel"/>
    <w:tmpl w:val="8794BC7A"/>
    <w:lvl w:ilvl="0" w:tplc="3CA05302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8249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EC4E3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A013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2BDA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43C4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062A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8153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0364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7"/>
    <w:rsid w:val="000B3F68"/>
    <w:rsid w:val="000E55E6"/>
    <w:rsid w:val="00182730"/>
    <w:rsid w:val="00222B50"/>
    <w:rsid w:val="002B4429"/>
    <w:rsid w:val="00340B71"/>
    <w:rsid w:val="0055308F"/>
    <w:rsid w:val="005B2953"/>
    <w:rsid w:val="00616140"/>
    <w:rsid w:val="007B41D6"/>
    <w:rsid w:val="007B5BF1"/>
    <w:rsid w:val="00900218"/>
    <w:rsid w:val="0091157D"/>
    <w:rsid w:val="0099158F"/>
    <w:rsid w:val="00995C17"/>
    <w:rsid w:val="00A13B47"/>
    <w:rsid w:val="00B07D2C"/>
    <w:rsid w:val="00BA0174"/>
    <w:rsid w:val="00C973BA"/>
    <w:rsid w:val="00DC66A3"/>
    <w:rsid w:val="00E37E6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6FEC"/>
  <w15:docId w15:val="{2B5F21E6-B72B-4D0F-95D1-E42C4167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22"/>
      <w:ind w:left="-24"/>
    </w:pPr>
    <w:rPr>
      <w:rFonts w:ascii="Calibri" w:eastAsia="Calibri" w:hAnsi="Calibri" w:cs="Calibri"/>
      <w:b/>
      <w:color w:val="00000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827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73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lenaers@roerm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klinkenbergi</dc:creator>
  <cp:keywords/>
  <cp:lastModifiedBy>Kim Corstjens</cp:lastModifiedBy>
  <cp:revision>22</cp:revision>
  <dcterms:created xsi:type="dcterms:W3CDTF">2022-03-30T13:20:00Z</dcterms:created>
  <dcterms:modified xsi:type="dcterms:W3CDTF">2023-04-25T15:33:00Z</dcterms:modified>
</cp:coreProperties>
</file>